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82553">
      <w:pPr>
        <w:jc w:val="center"/>
      </w:pPr>
      <w:r>
        <w:rPr>
          <w:rFonts w:ascii="宋体" w:hAnsi="宋体" w:eastAsia="宋体"/>
          <w:b/>
          <w:sz w:val="44"/>
        </w:rPr>
        <w:t>CSCA 试卷合规指标体系设计</w:t>
      </w:r>
    </w:p>
    <w:p w14:paraId="39CFECD3"/>
    <w:p w14:paraId="067ED74A">
      <w:pPr>
        <w:bidi w:val="0"/>
      </w:pPr>
      <w:r>
        <w:t>一、 指标体系构建背景</w:t>
      </w:r>
    </w:p>
    <w:p w14:paraId="6A67A5A4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来华留学本科入学学业水平测试（CSCA）是面向来华留学本科生的入学水平考试，采用机考形式，全部为综合阅读题，共80题，满分100分，考试总时长90分钟。试卷分为一级与二级两个难度，一级占比70%，二级占比30%；同时，试卷内容分为基础中文与专业中文两部分，基础中文占比40%，专业中文占比60%。</w:t>
      </w:r>
    </w:p>
    <w:p w14:paraId="74A81DB3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为确保 CSCA 试卷在题型结构、难度梯度、分值分配、内容安全及语言资源等方面符合考试设计规范，本文借鉴国际中文教育领域试卷合规审核经验，针对 CSCA 试卷结构特点，设计“试卷—题目—文本资源要素”三级合规指标体系。该体系旨在通过细粒度、多维度审核，提升试卷命题质量，保障考试的公平性、科学性与权威性。</w:t>
      </w:r>
    </w:p>
    <w:p w14:paraId="37D065E3">
      <w:pPr>
        <w:pStyle w:val="3"/>
      </w:pPr>
      <w:r>
        <w:t>二、 第一级：试卷指标</w:t>
      </w:r>
    </w:p>
    <w:p w14:paraId="1DE222E6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试卷指标从宏观层面衡量整套 CSCA 试卷的合规性，重点关注题型、分值、级别、基础/专业中文比例等结构性要素。</w:t>
      </w:r>
    </w:p>
    <w:p w14:paraId="46701D1A">
      <w:pPr>
        <w:pStyle w:val="4"/>
        <w:bidi w:val="0"/>
      </w:pPr>
      <w:r>
        <w:rPr>
          <w:rFonts w:hint="eastAsia" w:eastAsia="宋体"/>
          <w:lang w:val="en-US" w:eastAsia="zh-CN"/>
        </w:rPr>
        <w:t>1</w:t>
      </w:r>
      <w:r>
        <w:rPr>
          <w:lang w:val="en-US" w:eastAsia="en-US"/>
        </w:rPr>
        <w:t>题型分布</w:t>
      </w:r>
    </w:p>
    <w:p w14:paraId="7D679160">
      <w:pPr>
        <w:pStyle w:val="16"/>
        <w:spacing w:line="360" w:lineRule="auto"/>
      </w:pPr>
      <w:r>
        <w:rPr>
          <w:rFonts w:ascii="宋体" w:hAnsi="宋体" w:eastAsia="宋体"/>
          <w:sz w:val="24"/>
        </w:rPr>
        <w:t>统计试卷中六种题型（识解汉字、选词填空、辨析词语、选词成段、补全语句、阅读理解）的数量与比例，确保与《2025CSCA试题结构》表2一致。</w:t>
      </w:r>
    </w:p>
    <w:p w14:paraId="7C53E999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2</w:t>
      </w:r>
      <w:r>
        <w:rPr>
          <w:lang w:val="en-US" w:eastAsia="en-US"/>
        </w:rPr>
        <w:t>分数分布</w:t>
      </w:r>
    </w:p>
    <w:p w14:paraId="651C0F76">
      <w:pPr>
        <w:pStyle w:val="16"/>
        <w:spacing w:line="360" w:lineRule="auto"/>
      </w:pPr>
      <w:r>
        <w:rPr>
          <w:rFonts w:ascii="宋体" w:hAnsi="宋体" w:eastAsia="宋体"/>
          <w:sz w:val="24"/>
        </w:rPr>
        <w:t>评估80题、100分的分值分配是否合规。重点检查各题型总分（如识解汉字10分、选词填空15分、辨析词语10分、选词成段15分、补全语句25分、阅读理解25分）及单题分值设置是否合理。</w:t>
      </w:r>
    </w:p>
    <w:p w14:paraId="5AAC1EA7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3</w:t>
      </w:r>
      <w:r>
        <w:rPr>
          <w:lang w:val="en-US" w:eastAsia="en-US"/>
        </w:rPr>
        <w:t>级别分布</w:t>
      </w:r>
    </w:p>
    <w:p w14:paraId="1B422398">
      <w:pPr>
        <w:pStyle w:val="16"/>
        <w:spacing w:line="360" w:lineRule="auto"/>
      </w:pPr>
      <w:r>
        <w:rPr>
          <w:rFonts w:ascii="宋体" w:hAnsi="宋体" w:eastAsia="宋体"/>
          <w:sz w:val="24"/>
        </w:rPr>
        <w:t>检查一级与二级题目比例是否为7:3，即一级56题、二级24题。</w:t>
      </w:r>
    </w:p>
    <w:p w14:paraId="2008FB89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4</w:t>
      </w:r>
      <w:r>
        <w:rPr>
          <w:lang w:val="en-US" w:eastAsia="en-US"/>
        </w:rPr>
        <w:t>基础中文与专业中文分布</w:t>
      </w:r>
    </w:p>
    <w:p w14:paraId="5AD88B70">
      <w:pPr>
        <w:pStyle w:val="16"/>
        <w:spacing w:line="360" w:lineRule="auto"/>
      </w:pPr>
      <w:r>
        <w:rPr>
          <w:rFonts w:ascii="宋体" w:hAnsi="宋体" w:eastAsia="宋体"/>
          <w:sz w:val="24"/>
        </w:rPr>
        <w:t>检查基础中文与专业中文题目比例是否为4:6。其中，识解汉字、辨析词语、补全语句（基础中文部分）、阅读理解（基础中文部分）属于基础中文；选词填空、选词成段、补全语句（专业中文部分）、阅读理解（专业中文部分）属于专业中文。</w:t>
      </w:r>
    </w:p>
    <w:p w14:paraId="1988F011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4</w:t>
      </w:r>
      <w:r>
        <w:rPr>
          <w:lang w:val="en-US" w:eastAsia="en-US"/>
        </w:rPr>
        <w:t>考点分布</w:t>
      </w:r>
    </w:p>
    <w:p w14:paraId="721C160D">
      <w:pPr>
        <w:pStyle w:val="16"/>
        <w:spacing w:line="360" w:lineRule="auto"/>
      </w:pPr>
      <w:r>
        <w:rPr>
          <w:rFonts w:ascii="宋体" w:hAnsi="宋体" w:eastAsia="宋体"/>
          <w:sz w:val="24"/>
        </w:rPr>
        <w:t>分析题目涵盖的语言知识考点，包括汉字识别、词汇理解、词语辨析、语篇衔接、语法结构、阅读策略等，确保考点覆盖全面、重点突出。</w:t>
      </w:r>
    </w:p>
    <w:p w14:paraId="2C67B4D1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5</w:t>
      </w:r>
      <w:r>
        <w:rPr>
          <w:lang w:val="en-US" w:eastAsia="en-US"/>
        </w:rPr>
        <w:t>题干提问类型分布</w:t>
      </w:r>
    </w:p>
    <w:p w14:paraId="0AEF5F22">
      <w:pPr>
        <w:pStyle w:val="16"/>
        <w:spacing w:line="360" w:lineRule="auto"/>
      </w:pPr>
      <w:r>
        <w:rPr>
          <w:rFonts w:ascii="宋体" w:hAnsi="宋体" w:eastAsia="宋体"/>
          <w:sz w:val="24"/>
        </w:rPr>
        <w:t>：分析题干提问方式，如识别型、选择型、辨析型、补全型、理解型等，确保提问方式与题型功能匹配。</w:t>
      </w:r>
    </w:p>
    <w:p w14:paraId="5DD62777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6</w:t>
      </w:r>
      <w:r>
        <w:rPr>
          <w:lang w:val="en-US" w:eastAsia="en-US"/>
        </w:rPr>
        <w:t>难度梯度分布</w:t>
      </w:r>
    </w:p>
    <w:p w14:paraId="09F3A6C3">
      <w:pPr>
        <w:pStyle w:val="16"/>
        <w:spacing w:line="360" w:lineRule="auto"/>
      </w:pPr>
      <w:r>
        <w:rPr>
          <w:rFonts w:ascii="宋体" w:hAnsi="宋体" w:eastAsia="宋体"/>
          <w:sz w:val="24"/>
        </w:rPr>
        <w:t>评估试卷整体难度由易到难的分布情况，确保低难度题目（识解汉字、基础选词填空）靠前，高难度题目（阅读理解二级、专业中文选词成段）靠后，形成合理梯度。</w:t>
      </w:r>
    </w:p>
    <w:p w14:paraId="2BC8899D">
      <w:pPr>
        <w:pStyle w:val="3"/>
      </w:pPr>
      <w:r>
        <w:t>三、 第二级：题目指标</w:t>
      </w:r>
    </w:p>
    <w:p w14:paraId="34060A05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题目指标从中观层面审核单道题目的合规性，重点关注题目类型、难度级别、基础/专业属性、分值、长度及内部逻辑关系。</w:t>
      </w:r>
    </w:p>
    <w:p w14:paraId="130D4D96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1</w:t>
      </w:r>
      <w:r>
        <w:rPr>
          <w:lang w:val="en-US" w:eastAsia="en-US"/>
        </w:rPr>
        <w:t>题型</w:t>
      </w:r>
    </w:p>
    <w:p w14:paraId="53F359C1">
      <w:pPr>
        <w:pStyle w:val="16"/>
        <w:spacing w:line="360" w:lineRule="auto"/>
      </w:pPr>
      <w:r>
        <w:rPr>
          <w:rFonts w:ascii="宋体" w:hAnsi="宋体" w:eastAsia="宋体"/>
          <w:sz w:val="24"/>
        </w:rPr>
        <w:t>：分析单道题目的具体题型，确保属于 CSCA 允许的六种题型之一：识解汉字、选词填空、辨析词语、选词成段、补全语句、阅读理解。</w:t>
      </w:r>
    </w:p>
    <w:p w14:paraId="0F6A3C58">
      <w:pPr>
        <w:pStyle w:val="4"/>
        <w:bidi w:val="0"/>
        <w:rPr>
          <w:lang w:val="en-US" w:eastAsia="en-US"/>
        </w:rPr>
      </w:pPr>
      <w:r>
        <w:rPr>
          <w:rFonts w:hint="eastAsia" w:eastAsia="宋体"/>
          <w:lang w:val="en-US" w:eastAsia="zh-CN"/>
        </w:rPr>
        <w:t>2</w:t>
      </w:r>
      <w:r>
        <w:rPr>
          <w:lang w:val="en-US" w:eastAsia="en-US"/>
        </w:rPr>
        <w:t>级别</w:t>
      </w:r>
    </w:p>
    <w:p w14:paraId="58F7D52A">
      <w:pPr>
        <w:pStyle w:val="16"/>
        <w:spacing w:line="360" w:lineRule="auto"/>
      </w:pPr>
      <w:r>
        <w:rPr>
          <w:rFonts w:ascii="宋体" w:hAnsi="宋体" w:eastAsia="宋体"/>
          <w:sz w:val="24"/>
        </w:rPr>
        <w:t>根据题目难度判断其属于一级还是二级，确保与试卷级别分布要求一致。</w:t>
      </w:r>
    </w:p>
    <w:p w14:paraId="623F1D0B">
      <w:pPr>
        <w:pStyle w:val="4"/>
        <w:bidi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3基础中文/专业中文属性：</w:t>
      </w:r>
    </w:p>
    <w:p w14:paraId="4C8D5F53">
      <w:pPr>
        <w:pStyle w:val="16"/>
        <w:spacing w:line="360" w:lineRule="auto"/>
      </w:pPr>
      <w:r>
        <w:rPr>
          <w:rFonts w:ascii="宋体" w:hAnsi="宋体" w:eastAsia="宋体"/>
          <w:sz w:val="24"/>
        </w:rPr>
        <w:t>判断题目属于基础中文还是专业中文，确保与试卷基础/专业中文比例要求一致。</w:t>
      </w:r>
    </w:p>
    <w:p w14:paraId="19C30875">
      <w:pPr>
        <w:pStyle w:val="4"/>
        <w:bidi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4分值合规</w:t>
      </w:r>
    </w:p>
    <w:p w14:paraId="1CE0D6DD">
      <w:pPr>
        <w:pStyle w:val="16"/>
        <w:spacing w:line="360" w:lineRule="auto"/>
      </w:pPr>
      <w:r>
        <w:rPr>
          <w:rFonts w:ascii="宋体" w:hAnsi="宋体" w:eastAsia="宋体"/>
          <w:sz w:val="24"/>
        </w:rPr>
        <w:t>：评估单题分值是否符合该题型总分与题量的平均分配要求，避免分值设置不合理。</w:t>
      </w:r>
    </w:p>
    <w:p w14:paraId="518804FE">
      <w:pPr>
        <w:pStyle w:val="4"/>
        <w:bidi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5长度合规</w:t>
      </w:r>
    </w:p>
    <w:p w14:paraId="428F55FF">
      <w:pPr>
        <w:pStyle w:val="16"/>
        <w:spacing w:line="360" w:lineRule="auto"/>
      </w:pPr>
      <w:r>
        <w:rPr>
          <w:rFonts w:ascii="宋体" w:hAnsi="宋体" w:eastAsia="宋体"/>
          <w:sz w:val="24"/>
        </w:rPr>
        <w:t>：评估题干、选项、阅读文章长度是否适合对应级别。一级题目语言应简洁，二级题目可适当增加长度与复杂度。</w:t>
      </w:r>
    </w:p>
    <w:p w14:paraId="09805AD2">
      <w:pPr>
        <w:pStyle w:val="4"/>
        <w:bidi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6干扰项合规指标</w:t>
      </w:r>
    </w:p>
    <w:p w14:paraId="535B8F38">
      <w:pPr>
        <w:pStyle w:val="16"/>
        <w:spacing w:line="360" w:lineRule="auto"/>
      </w:pPr>
      <w:r>
        <w:rPr>
          <w:rFonts w:ascii="宋体" w:hAnsi="宋体" w:eastAsia="宋体"/>
          <w:sz w:val="24"/>
        </w:rPr>
        <w:t>：针对识解汉字、选词填空、辨析词语等客观题，分析干扰项是否具有迷惑性、是否基于常见偏误设计、是否与正确答案有明确区分度。</w:t>
      </w:r>
    </w:p>
    <w:p w14:paraId="27218190">
      <w:pPr>
        <w:pStyle w:val="4"/>
        <w:bidi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7要素关联合规指标</w:t>
      </w:r>
    </w:p>
    <w:p w14:paraId="1D242F09">
      <w:pPr>
        <w:pStyle w:val="16"/>
        <w:spacing w:line="360" w:lineRule="auto"/>
      </w:pPr>
      <w:r>
        <w:rPr>
          <w:rFonts w:ascii="宋体" w:hAnsi="宋体" w:eastAsia="宋体"/>
          <w:sz w:val="24"/>
        </w:rPr>
        <w:t>：考察题干、选项、答案、解析之间的逻辑关联性，确保答案唯一、题干与选项匹配、解析能够说明答案依据。</w:t>
      </w:r>
    </w:p>
    <w:p w14:paraId="2DAF4FE6">
      <w:pPr>
        <w:pStyle w:val="3"/>
      </w:pPr>
      <w:r>
        <w:t>四、 第三级：文本资源要素指标</w:t>
      </w:r>
    </w:p>
    <w:p w14:paraId="741B6475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文本资源要素指标从微观层面审核题目文本内容的质量，重点关注内容安全、国情元素、语言等级及语篇质量。</w:t>
      </w:r>
    </w:p>
    <w:p w14:paraId="64D049A7">
      <w:pPr>
        <w:pStyle w:val="4"/>
      </w:pPr>
      <w:r>
        <w:t>1. 内容安全指标</w:t>
      </w:r>
    </w:p>
    <w:p w14:paraId="5405E897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确保试卷内容不包含政治敏感、宗教敏感、种族歧视、性别歧视、暴力恐怖、低俗不良等信息，符合国际中文教育内容安全规范。</w:t>
      </w:r>
    </w:p>
    <w:p w14:paraId="6CB2EE02">
      <w:pPr>
        <w:pStyle w:val="4"/>
      </w:pPr>
      <w:r>
        <w:t>2. 国情元素指标</w:t>
      </w:r>
    </w:p>
    <w:p w14:paraId="5CE2DCF1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评估试卷是否适当融入中国国情、社会文化、日常生活、校园学习等元素，帮助考生了解中国，同时避免文化偏见或刻板印象。</w:t>
      </w:r>
    </w:p>
    <w:p w14:paraId="0640644D">
      <w:pPr>
        <w:pStyle w:val="4"/>
      </w:pPr>
      <w:r>
        <w:t>3. 《等级标准》指标</w:t>
      </w:r>
    </w:p>
    <w:p w14:paraId="388FE224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依据《国际中文教育中文水平等级标准》，对题目语言资源进行等级审核。</w:t>
      </w:r>
    </w:p>
    <w:p w14:paraId="2F19D26B">
      <w:pPr>
        <w:pStyle w:val="16"/>
        <w:spacing w:line="360" w:lineRule="auto"/>
      </w:pPr>
      <w:r>
        <w:rPr>
          <w:rFonts w:ascii="宋体" w:hAnsi="宋体" w:eastAsia="宋体"/>
          <w:sz w:val="24"/>
        </w:rPr>
        <w:t>音节等级：分析题目中使用的音节是否符合对应级别要求。</w:t>
      </w:r>
    </w:p>
    <w:p w14:paraId="41321428">
      <w:pPr>
        <w:pStyle w:val="16"/>
        <w:spacing w:line="360" w:lineRule="auto"/>
      </w:pPr>
      <w:r>
        <w:rPr>
          <w:rFonts w:ascii="宋体" w:hAnsi="宋体" w:eastAsia="宋体"/>
          <w:sz w:val="24"/>
        </w:rPr>
        <w:t>词汇等级：分析题目中使用的词汇等级分布，确保一级题目以初等词汇为主，二级题目可适当出现中等词汇。</w:t>
      </w:r>
    </w:p>
    <w:p w14:paraId="3C743217">
      <w:pPr>
        <w:pStyle w:val="16"/>
        <w:spacing w:line="360" w:lineRule="auto"/>
      </w:pPr>
      <w:r>
        <w:rPr>
          <w:rFonts w:ascii="宋体" w:hAnsi="宋体" w:eastAsia="宋体"/>
          <w:sz w:val="24"/>
        </w:rPr>
        <w:t>语法等级：评估题目涉及的语法点等级，确保语法难度与题目级别匹配。</w:t>
      </w:r>
    </w:p>
    <w:p w14:paraId="4A65B2D1">
      <w:pPr>
        <w:pStyle w:val="16"/>
        <w:spacing w:line="360" w:lineRule="auto"/>
      </w:pPr>
      <w:r>
        <w:rPr>
          <w:rFonts w:ascii="宋体" w:hAnsi="宋体" w:eastAsia="宋体"/>
          <w:sz w:val="24"/>
        </w:rPr>
        <w:t>话题等级：评估题目话题是否符合对应级别的话题范围。</w:t>
      </w:r>
    </w:p>
    <w:p w14:paraId="4528D6B8">
      <w:pPr>
        <w:pStyle w:val="16"/>
        <w:spacing w:line="360" w:lineRule="auto"/>
      </w:pPr>
      <w:r>
        <w:rPr>
          <w:rFonts w:ascii="宋体" w:hAnsi="宋体" w:eastAsia="宋体"/>
          <w:sz w:val="24"/>
        </w:rPr>
        <w:t>汉字等级：评估题目中使用的汉字等级，识解汉字题型应重点考察对应级别要求的汉字。</w:t>
      </w:r>
    </w:p>
    <w:p w14:paraId="0ADB191C">
      <w:pPr>
        <w:pStyle w:val="16"/>
        <w:spacing w:line="360" w:lineRule="auto"/>
      </w:pPr>
      <w:r>
        <w:rPr>
          <w:rFonts w:ascii="宋体" w:hAnsi="宋体" w:eastAsia="宋体"/>
          <w:sz w:val="24"/>
        </w:rPr>
        <w:t>话题任务：评估题目是否能够引导考生完成特定的语言理解任务。</w:t>
      </w:r>
    </w:p>
    <w:p w14:paraId="5EEC6A60">
      <w:pPr>
        <w:pStyle w:val="16"/>
        <w:spacing w:line="360" w:lineRule="auto"/>
      </w:pPr>
      <w:r>
        <w:rPr>
          <w:rFonts w:ascii="宋体" w:hAnsi="宋体" w:eastAsia="宋体"/>
          <w:sz w:val="24"/>
        </w:rPr>
        <w:t>综合等级：综合考虑上述指标，给出题目的整体语言等级评估。</w:t>
      </w:r>
    </w:p>
    <w:p w14:paraId="0F36649F">
      <w:pPr>
        <w:pStyle w:val="4"/>
      </w:pPr>
      <w:r>
        <w:t>4. 专业中文适切性指标</w:t>
      </w:r>
    </w:p>
    <w:p w14:paraId="23B89943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针对专业中文题目，评估所选语料、词汇、话题是否具有专业代表性，难度是否适合本科入学水平，避免过度专业或过于简单。</w:t>
      </w:r>
    </w:p>
    <w:p w14:paraId="3434C873">
      <w:pPr>
        <w:pStyle w:val="4"/>
      </w:pPr>
      <w:r>
        <w:t>5. 语篇连贯性指标</w:t>
      </w:r>
    </w:p>
    <w:p w14:paraId="46BE0C5A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针对选词成段、补全语句、阅读理解等需要语篇理解的题型，评估材料的语篇连贯性、逻辑性、完整性，确保上下文衔接自然、信息充分。</w:t>
      </w:r>
    </w:p>
    <w:p w14:paraId="685B50C6">
      <w:pPr>
        <w:bidi w:val="0"/>
      </w:pPr>
      <w:r>
        <w:t>五、 指标应用</w:t>
      </w:r>
      <w:bookmarkStart w:id="0" w:name="_GoBack"/>
      <w:bookmarkEnd w:id="0"/>
      <w:r>
        <w:t>建议</w:t>
      </w:r>
    </w:p>
    <w:p w14:paraId="4FC049A6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在实际命题与审核过程中，建议按照“先试卷级、后题目级、再文本要素级”的顺序进行逐级审核。首先通过试卷级指标把控整体结构与比例；其次通过题目级指标检查每道题目的类型、级别、分值与逻辑；最后通过文本资源要素级指标确保语言内容安全、等级适切、语篇连贯。</w:t>
      </w:r>
    </w:p>
    <w:p w14:paraId="1ED719EF">
      <w:pPr>
        <w:spacing w:line="360" w:lineRule="auto"/>
        <w:ind w:firstLine="432"/>
      </w:pPr>
      <w:r>
        <w:rPr>
          <w:rFonts w:ascii="宋体" w:hAnsi="宋体" w:eastAsia="宋体"/>
          <w:b w:val="0"/>
          <w:sz w:val="24"/>
        </w:rPr>
        <w:t>同时，建议建立指标量化评分机制，对每个指标设定“合规/基本合规/不合规”或具体分值，形成可量化的审核报告，为试卷修订提供数据支持。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C53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/>
      <w:sz w:val="28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000000"/>
      <w:spacing w:val="5"/>
      <w:kern w:val="28"/>
      <w:sz w:val="44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2078</Words>
  <Characters>2135</Characters>
  <Lines>0</Lines>
  <Paragraphs>0</Paragraphs>
  <TotalTime>984</TotalTime>
  <ScaleCrop>false</ScaleCrop>
  <LinksUpToDate>false</LinksUpToDate>
  <CharactersWithSpaces>2154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王华珍</cp:lastModifiedBy>
  <dcterms:modified xsi:type="dcterms:W3CDTF">2026-08-25T03:26:06Z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eyJoZGlkIjoiOGMwYzMyNTI2ZGI3YzY4N2IzOGUwODc1MmViMmQyNjMiLCJ1c2VySWQiOiI1ODkzOTM5MjIifQ==</vt:lpwstr>
  </property>
  <property fmtid="{D5CDD505-2E9C-101B-9397-08002B2CF9AE}" pid="3" name="KSOProductBuildVer">
    <vt:lpwstr>2052-12.1.0.28022</vt:lpwstr>
  </property>
  <property fmtid="{D5CDD505-2E9C-101B-9397-08002B2CF9AE}" pid="4" name="ICV">
    <vt:lpwstr>084DC6D5AB1F4A2D82C20FA5E0B9FD2D_12</vt:lpwstr>
  </property>
</Properties>
</file>