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黑体" w:hAnsi="黑体" w:eastAsia="黑体"/>
          <w:b/>
          <w:sz w:val="32"/>
        </w:rPr>
        <w:t>CSCA 模拟卷（15）合规审核报告</w:t>
      </w:r>
    </w:p>
    <w:p>
      <w:pPr>
        <w:spacing w:line="360" w:lineRule="auto"/>
        <w:jc w:val="center"/>
      </w:pPr>
      <w:r>
        <w:rPr>
          <w:rFonts w:ascii="宋体" w:hAnsi="宋体" w:eastAsia="宋体"/>
          <w:b/>
          <w:sz w:val="21"/>
        </w:rPr>
        <w:t>审核依据：《试卷合规指标体系设计-CSCA.docx》</w:t>
      </w:r>
    </w:p>
    <w:p>
      <w:pPr>
        <w:spacing w:line="360" w:lineRule="auto"/>
        <w:jc w:val="center"/>
      </w:pPr>
      <w:r>
        <w:rPr>
          <w:rFonts w:ascii="宋体" w:hAnsi="宋体" w:eastAsia="宋体"/>
          <w:b/>
          <w:sz w:val="21"/>
        </w:rPr>
        <w:t>审核对象：《公有试卷批量导入示例-CSCA 模拟卷 (15).docx》</w:t>
      </w:r>
    </w:p>
    <w:p>
      <w:pPr>
        <w:spacing w:line="360" w:lineRule="auto"/>
        <w:jc w:val="center"/>
      </w:pPr>
      <w:r>
        <w:rPr>
          <w:rFonts w:ascii="宋体" w:hAnsi="宋体" w:eastAsia="宋体"/>
          <w:b w:val="0"/>
          <w:sz w:val="21"/>
        </w:rPr>
      </w:r>
    </w:p>
    <w:p>
      <w:pPr>
        <w:pStyle w:val="Heading2"/>
      </w:pPr>
      <w:r>
        <w:rPr>
          <w:rFonts w:ascii="黑体" w:hAnsi="黑体" w:eastAsia="黑体"/>
          <w:b/>
          <w:sz w:val="28"/>
        </w:rPr>
        <w:t>一、审核概况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本次审核严格依据《试卷合规指标体系设计-CSCA.docx》中确立的“试卷—题目—文本资源要素”三级指标体系，对《公有试卷批量导入示例-CSCA 模拟卷 (15).docx》进行逐项合规性审查。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该试卷共 80 题，满分 100 分，包含六种题型：识解汉字、选词填空、辨析词语、选词成段、补全语句、阅读理解。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审核结论摘要：试卷在题型结构、分数分配、基础/专业中文比例、内容安全及语篇连贯性方面整体表现良好；但在“级别分布”这一核心指标上存在明显偏差，部分题目干扰项设计亦有优化空间。</w:t>
      </w:r>
    </w:p>
    <w:p>
      <w:pPr>
        <w:pStyle w:val="Heading2"/>
      </w:pPr>
      <w:r>
        <w:rPr>
          <w:rFonts w:ascii="黑体" w:hAnsi="黑体" w:eastAsia="黑体"/>
          <w:b/>
          <w:sz w:val="28"/>
        </w:rPr>
        <w:t>二、第一级：试卷指标审核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1. 题型分布与分数分布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表1  各题型题量与分值统计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题型</w:t>
            </w:r>
          </w:p>
        </w:tc>
        <w:tc>
          <w:tcPr>
            <w:tcW w:type="dxa" w:w="2160"/>
          </w:tcPr>
          <w:p>
            <w:r>
              <w:t>题量</w:t>
            </w:r>
          </w:p>
        </w:tc>
        <w:tc>
          <w:tcPr>
            <w:tcW w:type="dxa" w:w="2160"/>
          </w:tcPr>
          <w:p>
            <w:r>
              <w:t>分值</w:t>
            </w:r>
          </w:p>
        </w:tc>
        <w:tc>
          <w:tcPr>
            <w:tcW w:type="dxa" w:w="2160"/>
          </w:tcPr>
          <w:p>
            <w:r>
              <w:t>审核结论</w:t>
            </w:r>
          </w:p>
        </w:tc>
      </w:tr>
      <w:tr>
        <w:tc>
          <w:tcPr>
            <w:tcW w:type="dxa" w:w="2160"/>
          </w:tcPr>
          <w:p>
            <w:r>
              <w:t>识解汉字</w:t>
            </w:r>
          </w:p>
        </w:tc>
        <w:tc>
          <w:tcPr>
            <w:tcW w:type="dxa" w:w="2160"/>
          </w:tcPr>
          <w:p>
            <w:r>
              <w:t>10</w:t>
            </w:r>
          </w:p>
        </w:tc>
        <w:tc>
          <w:tcPr>
            <w:tcW w:type="dxa" w:w="2160"/>
          </w:tcPr>
          <w:p>
            <w:r>
              <w:t>10</w:t>
            </w:r>
          </w:p>
        </w:tc>
        <w:tc>
          <w:tcPr>
            <w:tcW w:type="dxa" w:w="2160"/>
          </w:tcPr>
          <w:p>
            <w:r>
              <w:t>合规</w:t>
            </w:r>
          </w:p>
        </w:tc>
      </w:tr>
      <w:tr>
        <w:tc>
          <w:tcPr>
            <w:tcW w:type="dxa" w:w="2160"/>
          </w:tcPr>
          <w:p>
            <w:r>
              <w:t>选词填空</w:t>
            </w:r>
          </w:p>
        </w:tc>
        <w:tc>
          <w:tcPr>
            <w:tcW w:type="dxa" w:w="2160"/>
          </w:tcPr>
          <w:p>
            <w:r>
              <w:t>15</w:t>
            </w:r>
          </w:p>
        </w:tc>
        <w:tc>
          <w:tcPr>
            <w:tcW w:type="dxa" w:w="2160"/>
          </w:tcPr>
          <w:p>
            <w:r>
              <w:t>15</w:t>
            </w:r>
          </w:p>
        </w:tc>
        <w:tc>
          <w:tcPr>
            <w:tcW w:type="dxa" w:w="2160"/>
          </w:tcPr>
          <w:p>
            <w:r>
              <w:t>合规</w:t>
            </w:r>
          </w:p>
        </w:tc>
      </w:tr>
      <w:tr>
        <w:tc>
          <w:tcPr>
            <w:tcW w:type="dxa" w:w="2160"/>
          </w:tcPr>
          <w:p>
            <w:r>
              <w:t>辨析词语</w:t>
            </w:r>
          </w:p>
        </w:tc>
        <w:tc>
          <w:tcPr>
            <w:tcW w:type="dxa" w:w="2160"/>
          </w:tcPr>
          <w:p>
            <w:r>
              <w:t>8</w:t>
            </w:r>
          </w:p>
        </w:tc>
        <w:tc>
          <w:tcPr>
            <w:tcW w:type="dxa" w:w="2160"/>
          </w:tcPr>
          <w:p>
            <w:r>
              <w:t>10</w:t>
            </w:r>
          </w:p>
        </w:tc>
        <w:tc>
          <w:tcPr>
            <w:tcW w:type="dxa" w:w="2160"/>
          </w:tcPr>
          <w:p>
            <w:r>
              <w:t>合规</w:t>
            </w:r>
          </w:p>
        </w:tc>
      </w:tr>
      <w:tr>
        <w:tc>
          <w:tcPr>
            <w:tcW w:type="dxa" w:w="2160"/>
          </w:tcPr>
          <w:p>
            <w:r>
              <w:t>选词成段</w:t>
            </w:r>
          </w:p>
        </w:tc>
        <w:tc>
          <w:tcPr>
            <w:tcW w:type="dxa" w:w="2160"/>
          </w:tcPr>
          <w:p>
            <w:r>
              <w:t>15</w:t>
            </w:r>
          </w:p>
        </w:tc>
        <w:tc>
          <w:tcPr>
            <w:tcW w:type="dxa" w:w="2160"/>
          </w:tcPr>
          <w:p>
            <w:r>
              <w:t>15</w:t>
            </w:r>
          </w:p>
        </w:tc>
        <w:tc>
          <w:tcPr>
            <w:tcW w:type="dxa" w:w="2160"/>
          </w:tcPr>
          <w:p>
            <w:r>
              <w:t>合规</w:t>
            </w:r>
          </w:p>
        </w:tc>
      </w:tr>
      <w:tr>
        <w:tc>
          <w:tcPr>
            <w:tcW w:type="dxa" w:w="2160"/>
          </w:tcPr>
          <w:p>
            <w:r>
              <w:t>补全语句</w:t>
            </w:r>
          </w:p>
        </w:tc>
        <w:tc>
          <w:tcPr>
            <w:tcW w:type="dxa" w:w="2160"/>
          </w:tcPr>
          <w:p>
            <w:r>
              <w:t>22</w:t>
            </w:r>
          </w:p>
        </w:tc>
        <w:tc>
          <w:tcPr>
            <w:tcW w:type="dxa" w:w="2160"/>
          </w:tcPr>
          <w:p>
            <w:r>
              <w:t>25</w:t>
            </w:r>
          </w:p>
        </w:tc>
        <w:tc>
          <w:tcPr>
            <w:tcW w:type="dxa" w:w="2160"/>
          </w:tcPr>
          <w:p>
            <w:r>
              <w:t>基本合规（题量表述需优化）</w:t>
            </w:r>
          </w:p>
        </w:tc>
      </w:tr>
      <w:tr>
        <w:tc>
          <w:tcPr>
            <w:tcW w:type="dxa" w:w="2160"/>
          </w:tcPr>
          <w:p>
            <w:r>
              <w:t>阅读理解</w:t>
            </w:r>
          </w:p>
        </w:tc>
        <w:tc>
          <w:tcPr>
            <w:tcW w:type="dxa" w:w="2160"/>
          </w:tcPr>
          <w:p>
            <w:r>
              <w:t>10</w:t>
            </w:r>
          </w:p>
        </w:tc>
        <w:tc>
          <w:tcPr>
            <w:tcW w:type="dxa" w:w="2160"/>
          </w:tcPr>
          <w:p>
            <w:r>
              <w:t>25</w:t>
            </w:r>
          </w:p>
        </w:tc>
        <w:tc>
          <w:tcPr>
            <w:tcW w:type="dxa" w:w="2160"/>
          </w:tcPr>
          <w:p>
            <w:r>
              <w:t>合规</w:t>
            </w:r>
          </w:p>
        </w:tc>
      </w:tr>
    </w:tbl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审核说明：六种题型齐全，各题型总分与《2025CSCA试题结构》一致。补全语句实际为22题、25分，但小节标题未明确题量，建议修订为“共22题，25分”。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2. 级别分布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当前一级题目 32 题（40.0%），二级题目 48 题（60.0%）。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标准要求：一级占 70%（56题），二级占 30%（24题）。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审核结论：不合规。当前二级题目占比过高（60%），一级题目仅占40%，与标准要求严重不符。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3. 基础中文与专业中文分布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当前基础中文题目 32 题（40.0%），专业中文题目 48 题（60.0%）。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标准要求：基础中文占 40%，专业中文占 60%。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审核结论：合规。基础中文与专业中文比例符合4:6要求。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4. 考点分布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试卷涵盖汉字识别（识解汉字）、词汇理解（选词填空）、词语辨析（辨析词语）、语篇衔接（选词成段）、语法结构（补全语句基础部分）、阅读策略（阅读理解）等考点。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审核结论：基本合规。但专业中文考点集中度较高，建议在一级题目中适当增加基础语法、日常交际类考点，以平衡一级/二级分布。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5. 题干提问类型分布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识解汉字以“怎么读/选出不同/选出有关”等识别型提问为主；选词填空、辨析词语、选词成段为选择/辨析型；补全语句为补全型；阅读理解为理解型。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审核结论：合规。提问方式与题型功能基本匹配。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6. 难度梯度分布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试卷题型按“识解汉字→选词填空→辨析词语→选词成段→补全语句→阅读理解”排列，整体由易到难，符合常规难度梯度。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审核结论：基本合规。但因二级题目占比达60%，整体难度偏高，建议下调部分题目级别或调整题量。</w:t>
      </w:r>
    </w:p>
    <w:p>
      <w:pPr>
        <w:pStyle w:val="Heading2"/>
      </w:pPr>
      <w:r>
        <w:rPr>
          <w:rFonts w:ascii="黑体" w:hAnsi="黑体" w:eastAsia="黑体"/>
          <w:b/>
          <w:sz w:val="28"/>
        </w:rPr>
        <w:t>三、第二级：题目指标审核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1. 题型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所有题目均属于 CSCA 允许的六种题型。审核结论：合规。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2. 级别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按题目内容与难度推断：一级 32 题，二级 48 题。一级占比不足，需按 7:3 标准调整。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3. 基础中文/专业中文属性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基础中文 32 题，专业中文 48 题，比例合规。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4. 分值合规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各题型分值设置与题型总分、题量基本匹配。辨析词语 32-33 题（2分）、阅读理解 76-80 题（3分）体现区分度。审核结论：合规。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5. 长度合规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题干简洁，选项长度适中；阅读理解短文长度控制在 80-200 字之间，适合 90 分钟机考。审核结论：合规。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6. 干扰项合规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部分题目干扰项设计较好，具有一定的迷惑性；但个别题目干扰项设置存在瑕疵，建议优化：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• 第28题“多数”的反义词选项中同时出现“少数”与“大多数”，后者与“多数”为近义关系，作为反义词选项不妥。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• 第30题“方式”的近义词，答案为“行为”，但“方法”与“方式”语义更为贴近，干扰项设计可进一步优化。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• 第50题关联词“一会儿……一会儿……”与“虽然……但是……”等选项区分度尚可，但个别近义干扰项（如“赶快”题中的“快速”与“赶紧”）可补充更典型的偏误项。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7. 要素关联合规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题干、选项、答案之间逻辑关系明确，答案唯一；阅读理解问题与短文内容对应清晰。审核结论：基本合规。</w:t>
      </w:r>
    </w:p>
    <w:p>
      <w:pPr>
        <w:pStyle w:val="Heading2"/>
      </w:pPr>
      <w:r>
        <w:rPr>
          <w:rFonts w:ascii="黑体" w:hAnsi="黑体" w:eastAsia="黑体"/>
          <w:b/>
          <w:sz w:val="28"/>
        </w:rPr>
        <w:t>四、第三级：文本资源要素指标审核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1. 内容安全指标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经逐题审查，试卷内容未出现政治敏感、宗教敏感、种族歧视、性别歧视、暴力恐怖、低俗不良等信息。审核结论：合规。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2. 国情元素指标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试卷融入了中国日常生活（垃圾分类、邻里相处、做饭清洁）、校园学习（数学、物理、化学实验）等国情元素，积极向上，无明显文化偏见或刻板印象。审核结论：合规。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3. 《等级标准》指标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音节/词汇/语法/话题/汉字等级总体与题型定位相符。但由于二级题目占比过高，专业中文题目使用了较多中等及以上等级词汇（如“沉淀、导体、对称、扩散、悬浮、密度、摩擦力”等），对一级考生难度偏大。建议增加一级题目数量，降低部分语料的词汇等级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4. 专业中文适切性指标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选词填空、选词成段、阅读理解专业部分涉及数学、物理、化学基础知识，语料具有专业代表性，难度基本适合本科入学水平。但部分题目（如物理浮力、化学灭火原理）对非理科背景考生可能偏难，建议在专业中文内部控制学科跨度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5. 语篇连贯性指标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选词成段三段短文主题明确、上下文衔接自然；阅读理解三篇短文结构完整、信息充分；补全语句语境设置合理。审核结论：合规。</w:t>
      </w:r>
    </w:p>
    <w:p>
      <w:pPr>
        <w:pStyle w:val="Heading2"/>
      </w:pPr>
      <w:r>
        <w:rPr>
          <w:rFonts w:ascii="黑体" w:hAnsi="黑体" w:eastAsia="黑体"/>
          <w:b/>
          <w:sz w:val="28"/>
        </w:rPr>
        <w:t>五、总体审核结论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综合三级指标体系审核结果，《公有试卷批量导入示例-CSCA 模拟卷 (15).docx》在题型结构、基础/专业中文比例、内容安全、语篇连贯性等方面整体合规；但在“级别分布”这一核心指标上存在明显偏差：二级题目占比达60%，远超30%的上限要求。此外，部分题目干扰项设计、补全语句题量表述存在优化空间。</w:t>
      </w:r>
    </w:p>
    <w:p>
      <w:pPr>
        <w:pStyle w:val="Heading2"/>
      </w:pPr>
      <w:r>
        <w:rPr>
          <w:rFonts w:ascii="黑体" w:hAnsi="黑体" w:eastAsia="黑体"/>
          <w:b/>
          <w:sz w:val="28"/>
        </w:rPr>
        <w:t>六、修改意见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根据上述审核发现，提出以下具体修改建议：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1. 调整一级/二级题目比例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将一级题目由32题增至56题（占比70%），二级题目由48题减至24题（占比30%）。具体可采取以下方式：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 xml:space="preserve">  (1) 将部分选词填空（如日常生活、校园场景类）调整为一级题目；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 xml:space="preserve">  (2) 将部分补全语句专业中文题目（58-70题中部分题目）替换为基础语法或日常交际类一级题目；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 xml:space="preserve">  (3) 适当减少阅读理解中专业科学类语篇的题量，增加生活化、叙事类短文。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2. 优化补全语句题量表述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小节标题“补全语句（49-56每题1分，57题2分，58-68每题1分，69-70每题2分，共25分）”未明确题量，建议修订为“补全语句（共22题，25分。其中49-56每题1分，57题2分，58-68每题1分，69-70每题2分）”。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3. 完善干扰项设计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 xml:space="preserve">  (1) 第28题：将“大多数”替换为与“多数”反义关系更明确的选项（如“极少数”），或调整题干为“选出意思相近的一项”；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 xml:space="preserve">  (2) 第30题：建议将答案调整为“方法”，或将“行为”的干扰性增强，使选项语义区分更合理；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 xml:space="preserve">  (3) 识解汉字、选词填空等客观题可增加基于常见偏误的干扰项，提高区分度。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4. 控制专业中文难度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专业中文题目应保持本科入学水平，避免过度依赖具体学科知识。建议对选词成段、阅读理解中的物理/化学专业语料进行难度校验，确保非理科考生也能依据中文语言能力作答。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5. 增强考点均衡性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在调整后的一级题目中，适当增加日常交际、文化国情、基础语法等考点，避免过度集中于汉字识别与词语辨析。</w:t>
      </w:r>
    </w:p>
    <w:p>
      <w:pPr>
        <w:spacing w:line="360" w:lineRule="auto"/>
      </w:pPr>
      <w:r>
        <w:rPr>
          <w:rFonts w:ascii="宋体" w:hAnsi="宋体" w:eastAsia="宋体"/>
          <w:b/>
          <w:sz w:val="21"/>
        </w:rPr>
        <w:t>6. 建立量化评分机制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  <w:t>建议后续命题与审核过程中，对每个三级指标设定“合规/基本合规/不合规”等级，并形成可量化的评分表，以便持续跟踪试卷质量。</w:t>
      </w:r>
    </w:p>
    <w:p>
      <w:pPr>
        <w:spacing w:line="360" w:lineRule="auto"/>
      </w:pPr>
      <w:r>
        <w:rPr>
          <w:rFonts w:ascii="宋体" w:hAnsi="宋体" w:eastAsia="宋体"/>
          <w:b w:val="0"/>
          <w:sz w:val="21"/>
        </w:rPr>
      </w:r>
    </w:p>
    <w:p>
      <w:pPr>
        <w:spacing w:line="360" w:lineRule="auto"/>
        <w:jc w:val="center"/>
      </w:pPr>
      <w:r>
        <w:rPr>
          <w:rFonts w:ascii="宋体" w:hAnsi="宋体" w:eastAsia="宋体"/>
          <w:b w:val="0"/>
          <w:sz w:val="21"/>
        </w:rPr>
        <w:t>— 报告结束 —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